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以太坊DApp编写-心得</w:t>
      </w:r>
    </w:p>
    <w:p>
      <w:pPr>
        <w:pStyle w:val="3"/>
        <w:spacing w:before="300" w:after="120" w:line="288" w:lineRule="auto"/>
        <w:ind w:left="0"/>
        <w:jc w:val="left"/>
        <w:outlineLvl w:val="2"/>
      </w:pPr>
      <w:bookmarkStart w:name="heading_0" w:id="0"/>
      <w:r>
        <w:rPr>
          <w:rFonts w:eastAsia="等线" w:ascii="Arial" w:cs="Arial" w:hAnsi="Arial"/>
          <w:b w:val="true"/>
          <w:sz w:val="30"/>
        </w:rPr>
        <w:t>整体操作步骤</w:t>
      </w:r>
      <w:bookmarkEnd w:id="0"/>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以太坊专用智能合约</w:t>
            </w:r>
            <w:r>
              <w:rPr>
                <w:rFonts w:eastAsia="等线" w:ascii="Arial" w:cs="Arial" w:hAnsi="Arial"/>
                <w:b w:val="true"/>
                <w:color w:val="646a73"/>
                <w:sz w:val="22"/>
              </w:rPr>
              <w:t>代码语言</w:t>
            </w:r>
            <w:r>
              <w:rPr>
                <w:rFonts w:eastAsia="等线" w:ascii="Arial" w:cs="Arial" w:hAnsi="Arial"/>
                <w:color w:val="646a73"/>
                <w:sz w:val="22"/>
              </w:rPr>
              <w:t>：solidity</w:t>
            </w:r>
          </w:p>
          <w:p>
            <w:pPr>
              <w:spacing w:before="120" w:after="120" w:line="288" w:lineRule="auto"/>
              <w:ind w:left="0"/>
              <w:jc w:val="left"/>
            </w:pPr>
            <w:r>
              <w:rPr>
                <w:rFonts w:eastAsia="等线" w:ascii="Arial" w:cs="Arial" w:hAnsi="Arial"/>
                <w:color w:val="646a73"/>
                <w:sz w:val="22"/>
              </w:rPr>
              <w:t>测试用的</w:t>
            </w:r>
            <w:r>
              <w:rPr>
                <w:rFonts w:eastAsia="等线" w:ascii="Arial" w:cs="Arial" w:hAnsi="Arial"/>
                <w:b w:val="true"/>
                <w:color w:val="646a73"/>
                <w:sz w:val="22"/>
              </w:rPr>
              <w:t>区块链网络</w:t>
            </w:r>
            <w:r>
              <w:rPr>
                <w:rFonts w:eastAsia="等线" w:ascii="Arial" w:cs="Arial" w:hAnsi="Arial"/>
                <w:color w:val="646a73"/>
                <w:sz w:val="22"/>
              </w:rPr>
              <w:t>：ganache</w:t>
            </w:r>
          </w:p>
          <w:p>
            <w:pPr>
              <w:spacing w:before="120" w:after="120" w:line="288" w:lineRule="auto"/>
              <w:ind w:left="0"/>
              <w:jc w:val="left"/>
            </w:pPr>
            <w:r>
              <w:rPr>
                <w:rFonts w:eastAsia="等线" w:ascii="Arial" w:cs="Arial" w:hAnsi="Arial"/>
                <w:color w:val="646a73"/>
                <w:sz w:val="22"/>
              </w:rPr>
              <w:t>合约部署测试</w:t>
            </w:r>
            <w:r>
              <w:rPr>
                <w:rFonts w:eastAsia="等线" w:ascii="Arial" w:cs="Arial" w:hAnsi="Arial"/>
                <w:b w:val="true"/>
                <w:color w:val="646a73"/>
                <w:sz w:val="22"/>
              </w:rPr>
              <w:t>框架</w:t>
            </w:r>
            <w:r>
              <w:rPr>
                <w:rFonts w:eastAsia="等线" w:ascii="Arial" w:cs="Arial" w:hAnsi="Arial"/>
                <w:color w:val="646a73"/>
                <w:sz w:val="22"/>
              </w:rPr>
              <w:t>：hardhat</w:t>
            </w:r>
          </w:p>
          <w:p>
            <w:pPr>
              <w:spacing w:before="120" w:after="120" w:line="288" w:lineRule="auto"/>
              <w:ind w:left="0"/>
              <w:jc w:val="left"/>
            </w:pPr>
            <w:r>
              <w:rPr>
                <w:rFonts w:eastAsia="等线" w:ascii="Arial" w:cs="Arial" w:hAnsi="Arial"/>
                <w:color w:val="646a73"/>
                <w:sz w:val="22"/>
              </w:rPr>
              <w:t>前端与区块链网络(serverless)交互的工具: web3.js</w:t>
            </w:r>
          </w:p>
        </w:tc>
      </w:tr>
    </w:tbl>
    <w:p>
      <w:pPr>
        <w:pStyle w:val="3"/>
        <w:spacing w:before="300" w:after="120" w:line="288" w:lineRule="auto"/>
        <w:ind w:left="0"/>
        <w:jc w:val="left"/>
        <w:outlineLvl w:val="2"/>
      </w:pPr>
      <w:bookmarkStart w:name="heading_1" w:id="1"/>
      <w:r>
        <w:rPr>
          <w:rFonts w:eastAsia="等线" w:ascii="Arial" w:cs="Arial" w:hAnsi="Arial"/>
          <w:b w:val="true"/>
          <w:sz w:val="30"/>
        </w:rPr>
        <w:t>静态编写</w:t>
      </w:r>
      <w:bookmarkEnd w:id="1"/>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Ganache快速入门：</w:t>
            </w:r>
          </w:p>
          <w:p>
            <w:pPr>
              <w:spacing w:before="120" w:after="120" w:line="288" w:lineRule="auto"/>
              <w:ind w:left="0"/>
              <w:jc w:val="left"/>
            </w:pPr>
            <w:hyperlink r:id="rId4">
              <w:r>
                <w:rPr>
                  <w:rFonts w:eastAsia="等线" w:ascii="Arial" w:cs="Arial" w:hAnsi="Arial"/>
                  <w:color w:val="3370ff"/>
                  <w:sz w:val="22"/>
                </w:rPr>
                <w:t>MetaMask手动添加网络（连接Ganache）</w:t>
              </w:r>
            </w:hyperlink>
          </w:p>
          <w:p>
            <w:pPr>
              <w:spacing w:before="120" w:after="120" w:line="288" w:lineRule="auto"/>
              <w:ind w:left="0"/>
              <w:jc w:val="left"/>
            </w:pPr>
            <w:hyperlink r:id="rId5">
              <w:r>
                <w:rPr>
                  <w:rFonts w:eastAsia="等线" w:ascii="Arial" w:cs="Arial" w:hAnsi="Arial"/>
                  <w:color w:val="3370ff"/>
                  <w:sz w:val="22"/>
                </w:rPr>
                <w:t>使用hardhat + ganache进行本地solidity开发</w:t>
              </w:r>
            </w:hyperlink>
          </w:p>
          <w:p>
            <w:pPr>
              <w:spacing w:before="120" w:after="120" w:line="288" w:lineRule="auto"/>
              <w:ind w:left="0"/>
              <w:jc w:val="left"/>
            </w:pPr>
            <w:r>
              <w:rPr>
                <w:rFonts w:eastAsia="等线" w:ascii="Arial" w:cs="Arial" w:hAnsi="Arial"/>
                <w:color w:val="646a73"/>
                <w:sz w:val="22"/>
              </w:rPr>
              <w:t>solidity学习教程：</w:t>
            </w:r>
          </w:p>
          <w:p>
            <w:pPr>
              <w:spacing w:before="120" w:after="120" w:line="288" w:lineRule="auto"/>
              <w:ind w:left="0"/>
              <w:jc w:val="left"/>
            </w:pPr>
            <w:hyperlink r:id="rId6">
              <w:r>
                <w:rPr>
                  <w:rFonts w:eastAsia="等线" w:ascii="Arial" w:cs="Arial" w:hAnsi="Arial"/>
                  <w:color w:val="3370ff"/>
                  <w:sz w:val="22"/>
                </w:rPr>
                <w:t>Solidity入门 | WTF Academy</w:t>
              </w:r>
            </w:hyperlink>
          </w:p>
          <w:p>
            <w:pPr>
              <w:spacing w:before="120" w:after="120" w:line="288" w:lineRule="auto"/>
              <w:ind w:left="0"/>
              <w:jc w:val="left"/>
            </w:pPr>
            <w:hyperlink r:id="rId7">
              <w:r>
                <w:rPr>
                  <w:rFonts w:eastAsia="等线" w:ascii="Arial" w:cs="Arial" w:hAnsi="Arial"/>
                  <w:color w:val="3370ff"/>
                  <w:sz w:val="22"/>
                </w:rPr>
                <w:t>Solidity 中文文档 — Solidity中文文档 — 登链社区 (learnblockchain.cn)</w:t>
              </w:r>
            </w:hyperlink>
            <w:r>
              <w:rPr>
                <w:rFonts w:eastAsia="等线" w:ascii="Arial" w:cs="Arial" w:hAnsi="Arial"/>
                <w:color w:val="646a73"/>
                <w:sz w:val="22"/>
              </w:rPr>
              <w:t xml:space="preserve"> 【官方中文版】</w:t>
            </w:r>
          </w:p>
          <w:p>
            <w:pPr>
              <w:spacing w:before="120" w:after="120" w:line="288" w:lineRule="auto"/>
              <w:ind w:left="0"/>
              <w:jc w:val="left"/>
            </w:pPr>
            <w:r>
              <w:rPr>
                <w:rFonts w:eastAsia="等线" w:ascii="Arial" w:cs="Arial" w:hAnsi="Arial"/>
                <w:color w:val="646a73"/>
                <w:sz w:val="22"/>
              </w:rPr>
              <w:t>Hardhat学习教程：</w:t>
            </w:r>
          </w:p>
          <w:p>
            <w:pPr>
              <w:spacing w:before="120" w:after="120" w:line="288" w:lineRule="auto"/>
              <w:ind w:left="0"/>
              <w:jc w:val="left"/>
            </w:pPr>
            <w:hyperlink r:id="rId8">
              <w:r>
                <w:rPr>
                  <w:rFonts w:eastAsia="等线" w:ascii="Arial" w:cs="Arial" w:hAnsi="Arial"/>
                  <w:color w:val="3370ff"/>
                  <w:sz w:val="22"/>
                </w:rPr>
                <w:t>Hardhat 入门教程</w:t>
              </w:r>
            </w:hyperlink>
          </w:p>
        </w:tc>
      </w:tr>
    </w:tbl>
    <w:p>
      <w:pPr>
        <w:numPr>
          <w:numId w:val="1"/>
        </w:numPr>
        <w:spacing w:before="120" w:after="120" w:line="288" w:lineRule="auto"/>
        <w:ind w:left="0"/>
        <w:jc w:val="left"/>
      </w:pPr>
      <w:r>
        <w:rPr>
          <w:rFonts w:eastAsia="等线" w:ascii="Arial" w:cs="Arial" w:hAnsi="Arial"/>
          <w:sz w:val="22"/>
        </w:rPr>
        <w:t>合约编写：首先按照业务逻辑分析功能和结构，编写对应的合约</w:t>
      </w:r>
    </w:p>
    <w:p>
      <w:pPr>
        <w:numPr>
          <w:numId w:val="2"/>
        </w:numPr>
        <w:spacing w:before="120" w:after="120" w:line="288" w:lineRule="auto"/>
        <w:ind w:left="453"/>
        <w:jc w:val="left"/>
      </w:pPr>
      <w:r>
        <w:rPr>
          <w:rFonts w:eastAsia="等线" w:ascii="Arial" w:cs="Arial" w:hAnsi="Arial"/>
          <w:sz w:val="22"/>
        </w:rPr>
        <w:t>这一步相当于构建静态的“类”</w:t>
      </w:r>
    </w:p>
    <w:p>
      <w:pPr>
        <w:numPr>
          <w:numId w:val="3"/>
        </w:numPr>
        <w:spacing w:before="120" w:after="120" w:line="288" w:lineRule="auto"/>
        <w:ind w:left="0"/>
        <w:jc w:val="left"/>
      </w:pPr>
      <w:r>
        <w:rPr>
          <w:rFonts w:eastAsia="等线" w:ascii="Arial" w:cs="Arial" w:hAnsi="Arial"/>
          <w:sz w:val="22"/>
        </w:rPr>
        <w:t>必须了解的知识点（除了solidity基本语法之外）</w:t>
      </w:r>
    </w:p>
    <w:p>
      <w:pPr>
        <w:numPr>
          <w:numId w:val="4"/>
        </w:numPr>
        <w:spacing w:before="120" w:after="120" w:line="288" w:lineRule="auto"/>
        <w:ind w:left="453"/>
        <w:jc w:val="left"/>
      </w:pPr>
      <w:r>
        <w:rPr>
          <w:rFonts w:eastAsia="等线" w:ascii="Arial" w:cs="Arial" w:hAnsi="Arial"/>
          <w:sz w:val="22"/>
        </w:rPr>
        <w:t>以太坊智能合约的基本结构</w:t>
      </w:r>
    </w:p>
    <w:p>
      <w:pPr>
        <w:numPr>
          <w:numId w:val="5"/>
        </w:numPr>
        <w:spacing w:before="120" w:after="120" w:line="288" w:lineRule="auto"/>
        <w:ind w:left="453"/>
        <w:jc w:val="left"/>
      </w:pPr>
      <w:r>
        <w:rPr>
          <w:rFonts w:eastAsia="等线" w:ascii="Arial" w:cs="Arial" w:hAnsi="Arial"/>
          <w:sz w:val="22"/>
        </w:rPr>
        <w:t>区块链结构的基本概念</w:t>
      </w:r>
    </w:p>
    <w:p>
      <w:pPr>
        <w:numPr>
          <w:numId w:val="6"/>
        </w:numPr>
        <w:spacing w:before="120" w:after="120" w:line="288" w:lineRule="auto"/>
        <w:ind w:left="453"/>
        <w:jc w:val="left"/>
      </w:pPr>
      <w:r>
        <w:rPr>
          <w:rFonts w:eastAsia="等线" w:ascii="Arial" w:cs="Arial" w:hAnsi="Arial"/>
          <w:sz w:val="22"/>
        </w:rPr>
        <w:t>数字货币的基本知识</w:t>
      </w:r>
    </w:p>
    <w:p>
      <w:pPr>
        <w:numPr>
          <w:numId w:val="7"/>
        </w:numPr>
        <w:spacing w:before="120" w:after="120" w:line="288" w:lineRule="auto"/>
        <w:ind w:left="453"/>
        <w:jc w:val="left"/>
      </w:pPr>
      <w:r>
        <w:rPr>
          <w:rFonts w:eastAsia="等线" w:ascii="Arial" w:cs="Arial" w:hAnsi="Arial"/>
          <w:sz w:val="22"/>
        </w:rPr>
        <w:t>ERC20代币标准 &amp; IERC20</w:t>
      </w:r>
    </w:p>
    <w:p>
      <w:pPr>
        <w:numPr>
          <w:numId w:val="8"/>
        </w:numPr>
        <w:spacing w:before="120" w:after="120" w:line="288" w:lineRule="auto"/>
        <w:ind w:left="453"/>
        <w:jc w:val="left"/>
      </w:pPr>
      <w:r>
        <w:rPr>
          <w:rFonts w:eastAsia="等线" w:ascii="Arial" w:cs="Arial" w:hAnsi="Arial"/>
          <w:sz w:val="22"/>
        </w:rPr>
        <w:t>ERC721非同质化代币(NFT)标准 &amp; IERC721</w:t>
      </w:r>
    </w:p>
    <w:p>
      <w:pPr>
        <w:pStyle w:val="3"/>
        <w:spacing w:before="300" w:after="120" w:line="288" w:lineRule="auto"/>
        <w:ind w:left="0"/>
        <w:jc w:val="left"/>
        <w:outlineLvl w:val="2"/>
      </w:pPr>
      <w:bookmarkStart w:name="heading_2" w:id="2"/>
      <w:r>
        <w:rPr>
          <w:rFonts w:eastAsia="等线" w:ascii="Arial" w:cs="Arial" w:hAnsi="Arial"/>
          <w:b w:val="true"/>
          <w:sz w:val="30"/>
        </w:rPr>
        <w:t>动态部署</w:t>
      </w:r>
      <w:bookmarkEnd w:id="2"/>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hardhat框架使用教程 </w:t>
            </w:r>
            <w:hyperlink r:id="rId10">
              <w:r>
                <w:rPr>
                  <w:rFonts w:eastAsia="等线" w:ascii="Arial" w:cs="Arial" w:hAnsi="Arial"/>
                  <w:color w:val="3370ff"/>
                  <w:sz w:val="22"/>
                </w:rPr>
                <w:t>Hardhat's tutorial for beginners | Ethereum development environment for professionals by Nomic Foundation</w:t>
              </w:r>
            </w:hyperlink>
          </w:p>
        </w:tc>
      </w:tr>
    </w:tbl>
    <w:p>
      <w:pPr>
        <w:numPr>
          <w:numId w:val="9"/>
        </w:numPr>
        <w:spacing w:before="120" w:after="120" w:line="288" w:lineRule="auto"/>
        <w:ind w:left="0"/>
        <w:jc w:val="left"/>
      </w:pPr>
      <w:r>
        <w:rPr>
          <w:rFonts w:eastAsia="等线" w:ascii="Arial" w:cs="Arial" w:hAnsi="Arial"/>
          <w:sz w:val="22"/>
        </w:rPr>
        <w:t>部署合约：</w:t>
      </w:r>
    </w:p>
    <w:p>
      <w:pPr>
        <w:numPr>
          <w:numId w:val="10"/>
        </w:numPr>
        <w:spacing w:before="120" w:after="120" w:line="288" w:lineRule="auto"/>
        <w:ind w:left="453"/>
        <w:jc w:val="left"/>
      </w:pPr>
      <w:r>
        <w:rPr>
          <w:rFonts w:eastAsia="等线" w:ascii="Arial" w:cs="Arial" w:hAnsi="Arial"/>
          <w:sz w:val="22"/>
        </w:rPr>
        <w:t>可以理解为广义上的类的“构建”操作</w:t>
      </w:r>
    </w:p>
    <w:p>
      <w:pPr>
        <w:numPr>
          <w:numId w:val="11"/>
        </w:numPr>
        <w:spacing w:before="120" w:after="120" w:line="288" w:lineRule="auto"/>
        <w:ind w:left="453"/>
        <w:jc w:val="left"/>
      </w:pPr>
      <w:r>
        <w:rPr>
          <w:rFonts w:eastAsia="等线" w:ascii="Arial" w:cs="Arial" w:hAnsi="Arial"/>
          <w:sz w:val="22"/>
        </w:rPr>
        <w:t>第0步：先要配置好测试用的区块链网络（此处使用的是ganache）</w:t>
      </w:r>
    </w:p>
    <w:p>
      <w:pPr>
        <w:numPr>
          <w:numId w:val="12"/>
        </w:numPr>
        <w:spacing w:before="120" w:after="120" w:line="288" w:lineRule="auto"/>
        <w:ind w:left="453"/>
        <w:jc w:val="left"/>
      </w:pPr>
      <w:r>
        <w:rPr>
          <w:rFonts w:eastAsia="等线" w:ascii="Arial" w:cs="Arial" w:hAnsi="Arial"/>
          <w:sz w:val="22"/>
        </w:rPr>
        <w:t>利用hardhat架构，编写ts脚本，实现合约在测试链上的部署</w:t>
      </w:r>
    </w:p>
    <w:p>
      <w:pPr>
        <w:numPr>
          <w:numId w:val="13"/>
        </w:numPr>
        <w:spacing w:before="120" w:after="120" w:line="288" w:lineRule="auto"/>
        <w:ind w:left="0"/>
        <w:jc w:val="left"/>
      </w:pPr>
      <w:r>
        <w:rPr>
          <w:rFonts w:eastAsia="等线" w:ascii="Arial" w:cs="Arial" w:hAnsi="Arial"/>
          <w:sz w:val="22"/>
        </w:rPr>
        <w:t>测试合约：【可选】</w:t>
      </w:r>
    </w:p>
    <w:p>
      <w:pPr>
        <w:numPr>
          <w:numId w:val="14"/>
        </w:numPr>
        <w:spacing w:before="120" w:after="120" w:line="288" w:lineRule="auto"/>
        <w:ind w:left="453"/>
        <w:jc w:val="left"/>
      </w:pPr>
      <w:r>
        <w:rPr>
          <w:rFonts w:eastAsia="等线" w:ascii="Arial" w:cs="Arial" w:hAnsi="Arial"/>
          <w:sz w:val="22"/>
        </w:rPr>
        <w:t>同上部署合约操作，需要编写ts脚本</w:t>
      </w:r>
    </w:p>
    <w:p>
      <w:pPr>
        <w:pStyle w:val="2"/>
        <w:spacing w:before="320" w:after="120" w:line="288" w:lineRule="auto"/>
        <w:ind w:left="0"/>
        <w:jc w:val="left"/>
        <w:outlineLvl w:val="1"/>
      </w:pPr>
      <w:bookmarkStart w:name="heading_3" w:id="3"/>
      <w:r>
        <w:rPr>
          <w:rFonts w:eastAsia="等线" w:ascii="Arial" w:cs="Arial" w:hAnsi="Arial"/>
          <w:b w:val="true"/>
          <w:sz w:val="32"/>
        </w:rPr>
        <w:t>过程截图</w:t>
      </w:r>
      <w:bookmarkEnd w:id="3"/>
    </w:p>
    <w:p>
      <w:pPr>
        <w:pStyle w:val="3"/>
        <w:spacing w:before="300" w:after="120" w:line="288" w:lineRule="auto"/>
        <w:ind w:left="0"/>
        <w:jc w:val="left"/>
        <w:outlineLvl w:val="2"/>
      </w:pPr>
      <w:bookmarkStart w:name="heading_4" w:id="4"/>
      <w:r>
        <w:rPr>
          <w:rFonts w:eastAsia="等线" w:ascii="Arial" w:cs="Arial" w:hAnsi="Arial"/>
          <w:b w:val="true"/>
          <w:sz w:val="30"/>
        </w:rPr>
        <w:t>首次连接钱包</w:t>
      </w:r>
      <w:bookmarkEnd w:id="4"/>
    </w:p>
    <w:p>
      <w:pPr>
        <w:spacing w:before="120" w:after="120" w:line="288" w:lineRule="auto"/>
        <w:ind w:left="0"/>
        <w:jc w:val="center"/>
      </w:pPr>
      <w:r>
        <w:drawing>
          <wp:inline distT="0" distR="0" distB="0" distL="0">
            <wp:extent cx="5257800" cy="27432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11"/>
                    <a:stretch>
                      <a:fillRect/>
                    </a:stretch>
                  </pic:blipFill>
                  <pic:spPr>
                    <a:xfrm>
                      <a:off x="0" y="0"/>
                      <a:ext cx="5257800" cy="2743200"/>
                    </a:xfrm>
                    <a:prstGeom prst="rect">
                      <a:avLst/>
                    </a:prstGeom>
                  </pic:spPr>
                </pic:pic>
              </a:graphicData>
            </a:graphic>
          </wp:inline>
        </w:drawing>
      </w:r>
    </w:p>
    <w:p>
      <w:pPr>
        <w:pStyle w:val="3"/>
        <w:spacing w:before="300" w:after="120" w:line="288" w:lineRule="auto"/>
        <w:ind w:left="0"/>
        <w:jc w:val="left"/>
        <w:outlineLvl w:val="2"/>
      </w:pPr>
      <w:bookmarkStart w:name="heading_5" w:id="5"/>
      <w:r>
        <w:rPr>
          <w:rFonts w:eastAsia="等线" w:ascii="Arial" w:cs="Arial" w:hAnsi="Arial"/>
          <w:b w:val="true"/>
          <w:sz w:val="30"/>
        </w:rPr>
        <w:t>本地网络</w:t>
      </w:r>
      <w:bookmarkEnd w:id="5"/>
    </w:p>
    <w:p>
      <w:pPr>
        <w:spacing w:before="120" w:after="120" w:line="288" w:lineRule="auto"/>
        <w:ind w:left="0"/>
        <w:jc w:val="center"/>
      </w:pPr>
      <w:r>
        <w:drawing>
          <wp:inline distT="0" distR="0" distB="0" distL="0">
            <wp:extent cx="5257800" cy="26289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12"/>
                    <a:stretch>
                      <a:fillRect/>
                    </a:stretch>
                  </pic:blipFill>
                  <pic:spPr>
                    <a:xfrm>
                      <a:off x="0" y="0"/>
                      <a:ext cx="5257800" cy="2628900"/>
                    </a:xfrm>
                    <a:prstGeom prst="rect">
                      <a:avLst/>
                    </a:prstGeom>
                  </pic:spPr>
                </pic:pic>
              </a:graphicData>
            </a:graphic>
          </wp:inline>
        </w:drawing>
      </w:r>
    </w:p>
    <w:p>
      <w:pPr>
        <w:spacing w:before="120" w:after="120" w:line="288" w:lineRule="auto"/>
        <w:ind w:left="0"/>
        <w:jc w:val="center"/>
      </w:pPr>
      <w:r>
        <w:drawing>
          <wp:inline distT="0" distR="0" distB="0" distL="0">
            <wp:extent cx="5257800" cy="22479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13"/>
                    <a:stretch>
                      <a:fillRect/>
                    </a:stretch>
                  </pic:blipFill>
                  <pic:spPr>
                    <a:xfrm>
                      <a:off x="0" y="0"/>
                      <a:ext cx="5257800" cy="2247900"/>
                    </a:xfrm>
                    <a:prstGeom prst="rect">
                      <a:avLst/>
                    </a:prstGeom>
                  </pic:spPr>
                </pic:pic>
              </a:graphicData>
            </a:graphic>
          </wp:inline>
        </w:drawing>
      </w:r>
    </w:p>
    <w:p>
      <w:pPr>
        <w:pStyle w:val="3"/>
        <w:spacing w:before="300" w:after="120" w:line="288" w:lineRule="auto"/>
        <w:ind w:left="0"/>
        <w:jc w:val="left"/>
        <w:outlineLvl w:val="2"/>
      </w:pPr>
      <w:bookmarkStart w:name="heading_6" w:id="6"/>
      <w:r>
        <w:rPr>
          <w:rFonts w:eastAsia="等线" w:ascii="Arial" w:cs="Arial" w:hAnsi="Arial"/>
          <w:b w:val="true"/>
          <w:sz w:val="30"/>
        </w:rPr>
        <w:t>交易</w:t>
      </w:r>
      <w:bookmarkEnd w:id="6"/>
    </w:p>
    <w:p>
      <w:pPr>
        <w:spacing w:before="120" w:after="120" w:line="288" w:lineRule="auto"/>
        <w:ind w:left="0"/>
        <w:jc w:val="center"/>
      </w:pPr>
      <w:r>
        <w:drawing>
          <wp:inline distT="0" distR="0" distB="0" distL="0">
            <wp:extent cx="5257800" cy="24384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4"/>
                    <a:stretch>
                      <a:fillRect/>
                    </a:stretch>
                  </pic:blipFill>
                  <pic:spPr>
                    <a:xfrm>
                      <a:off x="0" y="0"/>
                      <a:ext cx="5257800" cy="2438400"/>
                    </a:xfrm>
                    <a:prstGeom prst="rect">
                      <a:avLst/>
                    </a:prstGeom>
                  </pic:spPr>
                </pic:pic>
              </a:graphicData>
            </a:graphic>
          </wp:inline>
        </w:drawing>
      </w:r>
    </w:p>
    <w:p>
      <w:pPr>
        <w:spacing w:before="120" w:after="120" w:line="288" w:lineRule="auto"/>
        <w:ind w:left="0"/>
        <w:jc w:val="center"/>
      </w:pPr>
      <w:r>
        <w:drawing>
          <wp:inline distT="0" distR="0" distB="0" distL="0">
            <wp:extent cx="5257800" cy="29432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5"/>
                    <a:stretch>
                      <a:fillRect/>
                    </a:stretch>
                  </pic:blipFill>
                  <pic:spPr>
                    <a:xfrm>
                      <a:off x="0" y="0"/>
                      <a:ext cx="5257800" cy="2943225"/>
                    </a:xfrm>
                    <a:prstGeom prst="rect">
                      <a:avLst/>
                    </a:prstGeom>
                  </pic:spPr>
                </pic:pic>
              </a:graphicData>
            </a:graphic>
          </wp:inline>
        </w:drawing>
      </w:r>
    </w:p>
    <w:p>
      <w:pPr>
        <w:spacing w:before="120" w:after="120" w:line="288" w:lineRule="auto"/>
        <w:ind w:left="0"/>
        <w:jc w:val="center"/>
      </w:pPr>
      <w:r>
        <w:drawing>
          <wp:inline distT="0" distR="0" distB="0" distL="0">
            <wp:extent cx="5257800" cy="43815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6"/>
                    <a:stretch>
                      <a:fillRect/>
                    </a:stretch>
                  </pic:blipFill>
                  <pic:spPr>
                    <a:xfrm>
                      <a:off x="0" y="0"/>
                      <a:ext cx="5257800" cy="4381500"/>
                    </a:xfrm>
                    <a:prstGeom prst="rect">
                      <a:avLst/>
                    </a:prstGeom>
                  </pic:spPr>
                </pic:pic>
              </a:graphicData>
            </a:graphic>
          </wp:inline>
        </w:drawing>
      </w:r>
    </w:p>
    <w:p>
      <w:pPr>
        <w:spacing w:before="120" w:after="120" w:line="288" w:lineRule="auto"/>
        <w:ind w:left="0"/>
        <w:jc w:val="center"/>
      </w:pPr>
      <w:r>
        <w:drawing>
          <wp:inline distT="0" distR="0" distB="0" distL="0">
            <wp:extent cx="5257800" cy="22479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7"/>
                    <a:stretch>
                      <a:fillRect/>
                    </a:stretch>
                  </pic:blipFill>
                  <pic:spPr>
                    <a:xfrm>
                      <a:off x="0" y="0"/>
                      <a:ext cx="5257800" cy="2247900"/>
                    </a:xfrm>
                    <a:prstGeom prst="rect">
                      <a:avLst/>
                    </a:prstGeom>
                  </pic:spPr>
                </pic:pic>
              </a:graphicData>
            </a:graphic>
          </wp:inline>
        </w:drawing>
      </w:r>
    </w:p>
    <w:p>
      <w:pPr>
        <w:spacing w:before="120" w:after="120" w:line="288" w:lineRule="auto"/>
        <w:ind w:left="0"/>
        <w:jc w:val="left"/>
      </w:pPr>
    </w:p>
    <w:sectPr>
      <w:footerReference w:type="default" r:id="rId3"/>
      <w:headerReference w:type="default" r:id="rId18"/>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0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文豪 0391"/>
          <v:fill opacity="0.3"/>
        </v:shape>
      </w:pict>
    </w:r>
  </w:p>
</w:hdr>
</file>

<file path=word/numbering.xml><?xml version="1.0" encoding="utf-8"?>
<w:numbering xmlns:w="http://schemas.openxmlformats.org/wordprocessingml/2006/main">
  <w:abstractNum w:abstractNumId="352623">
    <w:lvl>
      <w:numFmt w:val="bullet"/>
      <w:suff w:val="tab"/>
      <w:lvlText w:val="•"/>
      <w:rPr>
        <w:color w:val="3370ff"/>
      </w:rPr>
    </w:lvl>
  </w:abstractNum>
  <w:abstractNum w:abstractNumId="352624">
    <w:lvl>
      <w:numFmt w:val="bullet"/>
      <w:suff w:val="tab"/>
      <w:lvlText w:val="￮"/>
      <w:rPr>
        <w:color w:val="3370ff"/>
      </w:rPr>
    </w:lvl>
  </w:abstractNum>
  <w:abstractNum w:abstractNumId="352625">
    <w:lvl>
      <w:numFmt w:val="bullet"/>
      <w:suff w:val="tab"/>
      <w:lvlText w:val="•"/>
      <w:rPr>
        <w:color w:val="3370ff"/>
      </w:rPr>
    </w:lvl>
  </w:abstractNum>
  <w:abstractNum w:abstractNumId="352626">
    <w:lvl>
      <w:numFmt w:val="bullet"/>
      <w:suff w:val="tab"/>
      <w:lvlText w:val="￮"/>
      <w:rPr>
        <w:color w:val="3370ff"/>
      </w:rPr>
    </w:lvl>
  </w:abstractNum>
  <w:abstractNum w:abstractNumId="352627">
    <w:lvl>
      <w:numFmt w:val="bullet"/>
      <w:suff w:val="tab"/>
      <w:lvlText w:val="￮"/>
      <w:rPr>
        <w:color w:val="3370ff"/>
      </w:rPr>
    </w:lvl>
  </w:abstractNum>
  <w:abstractNum w:abstractNumId="352628">
    <w:lvl>
      <w:numFmt w:val="bullet"/>
      <w:suff w:val="tab"/>
      <w:lvlText w:val="￮"/>
      <w:rPr>
        <w:color w:val="3370ff"/>
      </w:rPr>
    </w:lvl>
  </w:abstractNum>
  <w:abstractNum w:abstractNumId="352629">
    <w:lvl>
      <w:numFmt w:val="bullet"/>
      <w:suff w:val="tab"/>
      <w:lvlText w:val="￮"/>
      <w:rPr>
        <w:color w:val="3370ff"/>
      </w:rPr>
    </w:lvl>
  </w:abstractNum>
  <w:abstractNum w:abstractNumId="352630">
    <w:lvl>
      <w:numFmt w:val="bullet"/>
      <w:suff w:val="tab"/>
      <w:lvlText w:val="￮"/>
      <w:rPr>
        <w:color w:val="3370ff"/>
      </w:rPr>
    </w:lvl>
  </w:abstractNum>
  <w:abstractNum w:abstractNumId="352631">
    <w:lvl>
      <w:numFmt w:val="bullet"/>
      <w:suff w:val="tab"/>
      <w:lvlText w:val="•"/>
      <w:rPr>
        <w:color w:val="3370ff"/>
      </w:rPr>
    </w:lvl>
  </w:abstractNum>
  <w:abstractNum w:abstractNumId="352632">
    <w:lvl>
      <w:numFmt w:val="bullet"/>
      <w:suff w:val="tab"/>
      <w:lvlText w:val="￮"/>
      <w:rPr>
        <w:color w:val="3370ff"/>
      </w:rPr>
    </w:lvl>
  </w:abstractNum>
  <w:abstractNum w:abstractNumId="352633">
    <w:lvl>
      <w:numFmt w:val="bullet"/>
      <w:suff w:val="tab"/>
      <w:lvlText w:val="￮"/>
      <w:rPr>
        <w:color w:val="3370ff"/>
      </w:rPr>
    </w:lvl>
  </w:abstractNum>
  <w:abstractNum w:abstractNumId="352634">
    <w:lvl>
      <w:numFmt w:val="bullet"/>
      <w:suff w:val="tab"/>
      <w:lvlText w:val="￮"/>
      <w:rPr>
        <w:color w:val="3370ff"/>
      </w:rPr>
    </w:lvl>
  </w:abstractNum>
  <w:abstractNum w:abstractNumId="352635">
    <w:lvl>
      <w:numFmt w:val="bullet"/>
      <w:suff w:val="tab"/>
      <w:lvlText w:val="•"/>
      <w:rPr>
        <w:color w:val="3370ff"/>
      </w:rPr>
    </w:lvl>
  </w:abstractNum>
  <w:abstractNum w:abstractNumId="352636">
    <w:lvl>
      <w:numFmt w:val="bullet"/>
      <w:suff w:val="tab"/>
      <w:lvlText w:val="￮"/>
      <w:rPr>
        <w:color w:val="3370ff"/>
      </w:rPr>
    </w:lvl>
  </w:abstractNum>
  <w:num w:numId="1">
    <w:abstractNumId w:val="352623"/>
  </w:num>
  <w:num w:numId="2">
    <w:abstractNumId w:val="352624"/>
  </w:num>
  <w:num w:numId="3">
    <w:abstractNumId w:val="352625"/>
  </w:num>
  <w:num w:numId="4">
    <w:abstractNumId w:val="352626"/>
  </w:num>
  <w:num w:numId="5">
    <w:abstractNumId w:val="352627"/>
  </w:num>
  <w:num w:numId="6">
    <w:abstractNumId w:val="352628"/>
  </w:num>
  <w:num w:numId="7">
    <w:abstractNumId w:val="352629"/>
  </w:num>
  <w:num w:numId="8">
    <w:abstractNumId w:val="352630"/>
  </w:num>
  <w:num w:numId="9">
    <w:abstractNumId w:val="352631"/>
  </w:num>
  <w:num w:numId="10">
    <w:abstractNumId w:val="352632"/>
  </w:num>
  <w:num w:numId="11">
    <w:abstractNumId w:val="352633"/>
  </w:num>
  <w:num w:numId="12">
    <w:abstractNumId w:val="352634"/>
  </w:num>
  <w:num w:numId="13">
    <w:abstractNumId w:val="352635"/>
  </w:num>
  <w:num w:numId="14">
    <w:abstractNumId w:val="352636"/>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hardhat.org/tutorial" TargetMode="External" Type="http://schemas.openxmlformats.org/officeDocument/2006/relationships/hyperlink"/><Relationship Id="rId11" Target="media/image1.png" Type="http://schemas.openxmlformats.org/officeDocument/2006/relationships/image"/><Relationship Id="rId12" Target="media/image2.png" Type="http://schemas.openxmlformats.org/officeDocument/2006/relationships/image"/><Relationship Id="rId13" Target="media/image3.png" Type="http://schemas.openxmlformats.org/officeDocument/2006/relationships/image"/><Relationship Id="rId14" Target="media/image4.png" Type="http://schemas.openxmlformats.org/officeDocument/2006/relationships/image"/><Relationship Id="rId15" Target="media/image5.png" Type="http://schemas.openxmlformats.org/officeDocument/2006/relationships/image"/><Relationship Id="rId16" Target="media/image6.png" Type="http://schemas.openxmlformats.org/officeDocument/2006/relationships/image"/><Relationship Id="rId17" Target="media/image7.png" Type="http://schemas.openxmlformats.org/officeDocument/2006/relationships/image"/><Relationship Id="rId18"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https://blog.csdn.net/2201_75392924/article/details/142203717" TargetMode="External" Type="http://schemas.openxmlformats.org/officeDocument/2006/relationships/hyperlink"/><Relationship Id="rId5" Target="https://www.cnblogs.com/lyhero11/p/17893673.html" TargetMode="External" Type="http://schemas.openxmlformats.org/officeDocument/2006/relationships/hyperlink"/><Relationship Id="rId6" Target="https://www.wtf.academy/docs/solidity-101/" TargetMode="External" Type="http://schemas.openxmlformats.org/officeDocument/2006/relationships/hyperlink"/><Relationship Id="rId7" Target="https://learnblockchain.cn/docs/solidity/index.html" TargetMode="External" Type="http://schemas.openxmlformats.org/officeDocument/2006/relationships/hyperlink"/><Relationship Id="rId8" Target="https://learnblockchain.cn/article/1356" TargetMode="External" Type="http://schemas.openxmlformats.org/officeDocument/2006/relationships/hyperlink"/><Relationship Id="rId9" Target="numbering.xml" Type="http://schemas.openxmlformats.org/officeDocument/2006/relationships/numbering"/></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2024-10-25T11:58:37Z</dcterms:created>
  <dc:creator>Apache POI</dc:creator>
</cp:coreProperties>
</file>